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7" w:rsidRPr="00D02067" w:rsidRDefault="00D02067" w:rsidP="00D02067">
      <w:pPr>
        <w:jc w:val="center"/>
        <w:rPr>
          <w:b/>
        </w:rPr>
      </w:pPr>
      <w:r w:rsidRPr="00D02067">
        <w:rPr>
          <w:b/>
        </w:rPr>
        <w:t>Прейскурант на ремонт и обслуживание часов</w:t>
      </w:r>
    </w:p>
    <w:tbl>
      <w:tblPr>
        <w:tblW w:w="10705" w:type="dxa"/>
        <w:tblInd w:w="-6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4368"/>
      </w:tblGrid>
      <w:tr w:rsidR="009D068D" w:rsidRPr="00AF0002" w:rsidTr="00D02067">
        <w:trPr>
          <w:trHeight w:val="1170"/>
        </w:trPr>
        <w:tc>
          <w:tcPr>
            <w:tcW w:w="107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D068D" w:rsidRPr="00AF0002" w:rsidRDefault="009D068D" w:rsidP="00BE69DF">
            <w:pPr>
              <w:spacing w:after="0" w:line="360" w:lineRule="atLeast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Установка/ регулировка ремешков и браслетов </w:t>
            </w:r>
          </w:p>
        </w:tc>
      </w:tr>
      <w:tr w:rsidR="009D068D" w:rsidRPr="00AF0002" w:rsidTr="00D02067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D068D" w:rsidRPr="00AF0002" w:rsidRDefault="009D068D" w:rsidP="00BE69DF">
            <w:pPr>
              <w:spacing w:after="0" w:line="360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 xml:space="preserve">Установка ремня 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D068D" w:rsidRPr="00AF0002" w:rsidRDefault="009D068D" w:rsidP="00445D02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50р</w:t>
            </w:r>
          </w:p>
        </w:tc>
      </w:tr>
      <w:tr w:rsidR="009D068D" w:rsidRPr="00AF0002" w:rsidTr="00D02067">
        <w:tc>
          <w:tcPr>
            <w:tcW w:w="6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068D" w:rsidRPr="00AF0002" w:rsidRDefault="009D068D" w:rsidP="00BE69DF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>Установка браслета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068D" w:rsidRPr="00AF0002" w:rsidRDefault="009D068D" w:rsidP="00445D02">
            <w:pPr>
              <w:shd w:val="clear" w:color="auto" w:fill="FFFFFF"/>
              <w:spacing w:after="0" w:line="360" w:lineRule="atLeast"/>
              <w:ind w:left="75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100р</w:t>
            </w:r>
          </w:p>
        </w:tc>
      </w:tr>
      <w:tr w:rsidR="009D068D" w:rsidTr="00D02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337" w:type="dxa"/>
          </w:tcPr>
          <w:p w:rsidR="009D068D" w:rsidRPr="00AF0002" w:rsidRDefault="009D068D" w:rsidP="00BE69DF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 xml:space="preserve">Регулировка браслета </w:t>
            </w:r>
          </w:p>
        </w:tc>
        <w:tc>
          <w:tcPr>
            <w:tcW w:w="4368" w:type="dxa"/>
            <w:tcBorders>
              <w:right w:val="single" w:sz="4" w:space="0" w:color="auto"/>
            </w:tcBorders>
          </w:tcPr>
          <w:p w:rsidR="009D068D" w:rsidRPr="00AF0002" w:rsidRDefault="009D068D" w:rsidP="00445D02">
            <w:pPr>
              <w:shd w:val="clear" w:color="auto" w:fill="FFFFFF"/>
              <w:spacing w:after="0" w:line="360" w:lineRule="atLeast"/>
              <w:ind w:left="75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6D62C6">
              <w:rPr>
                <w:rFonts w:eastAsia="Times New Roman" w:cs="Times New Roman"/>
                <w:szCs w:val="28"/>
                <w:lang w:eastAsia="ru-RU"/>
              </w:rPr>
              <w:t>100р</w:t>
            </w:r>
          </w:p>
        </w:tc>
      </w:tr>
      <w:tr w:rsidR="009D068D" w:rsidTr="009D06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337" w:type="dxa"/>
            <w:vAlign w:val="center"/>
          </w:tcPr>
          <w:p w:rsidR="009D068D" w:rsidRPr="00AF0002" w:rsidRDefault="009D068D" w:rsidP="00BE69DF">
            <w:pPr>
              <w:spacing w:after="0" w:line="360" w:lineRule="atLeast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>Замена шпилек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8D" w:rsidRDefault="006D62C6" w:rsidP="00445D0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10</w:t>
            </w:r>
            <w:r w:rsidR="009D068D">
              <w:rPr>
                <w:rFonts w:eastAsia="Times New Roman" w:cs="Times New Roman"/>
                <w:szCs w:val="28"/>
                <w:lang w:eastAsia="ru-RU"/>
              </w:rPr>
              <w:t>0р</w:t>
            </w:r>
          </w:p>
        </w:tc>
      </w:tr>
    </w:tbl>
    <w:p w:rsidR="00A32638" w:rsidRDefault="00A32638" w:rsidP="00A32638">
      <w:pPr>
        <w:sectPr w:rsidR="00A32638" w:rsidSect="00D02067">
          <w:pgSz w:w="11906" w:h="16838"/>
          <w:pgMar w:top="426" w:right="720" w:bottom="0" w:left="720" w:header="708" w:footer="708" w:gutter="0"/>
          <w:cols w:space="708"/>
          <w:docGrid w:linePitch="360"/>
        </w:sectPr>
      </w:pPr>
    </w:p>
    <w:tbl>
      <w:tblPr>
        <w:tblW w:w="5245" w:type="dxa"/>
        <w:tblInd w:w="-6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AF0002" w:rsidRPr="00AF0002" w:rsidTr="009D068D">
        <w:trPr>
          <w:trHeight w:val="1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1538" w:rsidRPr="007517D2" w:rsidRDefault="00CE44F9" w:rsidP="00CE44F9">
            <w:pPr>
              <w:spacing w:after="0" w:line="360" w:lineRule="atLeast"/>
              <w:ind w:right="-1136"/>
              <w:textAlignment w:val="center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lastRenderedPageBreak/>
              <w:br/>
            </w:r>
            <w:r w:rsidR="00ED3F3D"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Замена элемента питания</w:t>
            </w:r>
            <w:r w:rsidR="000122BF"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 xml:space="preserve"> (оксид серебра)</w:t>
            </w:r>
          </w:p>
        </w:tc>
      </w:tr>
    </w:tbl>
    <w:p w:rsidR="00A32638" w:rsidRDefault="00A32638" w:rsidP="00AF0002">
      <w:pPr>
        <w:spacing w:after="0" w:line="360" w:lineRule="atLeast"/>
        <w:rPr>
          <w:rFonts w:eastAsia="Times New Roman" w:cs="Times New Roman"/>
          <w:szCs w:val="28"/>
          <w:lang w:eastAsia="ru-RU"/>
        </w:rPr>
        <w:sectPr w:rsidR="00A32638" w:rsidSect="00A32638">
          <w:type w:val="continuous"/>
          <w:pgSz w:w="11906" w:h="16838"/>
          <w:pgMar w:top="142" w:right="720" w:bottom="0" w:left="720" w:header="708" w:footer="708" w:gutter="0"/>
          <w:cols w:space="708"/>
          <w:docGrid w:linePitch="360"/>
        </w:sectPr>
      </w:pPr>
    </w:p>
    <w:tbl>
      <w:tblPr>
        <w:tblW w:w="10775" w:type="dxa"/>
        <w:tblInd w:w="-6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4395"/>
      </w:tblGrid>
      <w:tr w:rsidR="00AF0002" w:rsidRPr="00AF0002" w:rsidTr="007517D2">
        <w:trPr>
          <w:trHeight w:val="372"/>
        </w:trPr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AF0002" w:rsidRDefault="000122BF" w:rsidP="00AF0002">
            <w:pPr>
              <w:spacing w:after="0" w:line="36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lastRenderedPageBreak/>
              <w:t>Простые кварцевые часы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AF0002" w:rsidRDefault="00C354D4" w:rsidP="00AF0002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250р</w:t>
            </w:r>
          </w:p>
        </w:tc>
      </w:tr>
      <w:tr w:rsidR="00AF0002" w:rsidRPr="00AF0002" w:rsidTr="007517D2">
        <w:trPr>
          <w:trHeight w:val="360"/>
        </w:trPr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AF0002" w:rsidRDefault="000122BF" w:rsidP="00AF0002">
            <w:pPr>
              <w:spacing w:after="0" w:line="36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 xml:space="preserve">Простые кварцевые часы с </w:t>
            </w:r>
            <w:proofErr w:type="gramStart"/>
            <w:r w:rsidRPr="00AF0002">
              <w:rPr>
                <w:rFonts w:eastAsia="Times New Roman" w:cs="Times New Roman"/>
                <w:szCs w:val="28"/>
                <w:lang w:eastAsia="ru-RU"/>
              </w:rPr>
              <w:t>водозащитной</w:t>
            </w:r>
            <w:proofErr w:type="gramEnd"/>
            <w:r w:rsidRPr="00AF0002">
              <w:rPr>
                <w:rFonts w:eastAsia="Times New Roman" w:cs="Times New Roman"/>
                <w:szCs w:val="28"/>
                <w:lang w:eastAsia="ru-RU"/>
              </w:rPr>
              <w:t xml:space="preserve">  50 метров и более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AF0002" w:rsidRDefault="006D62C6" w:rsidP="00AF0002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300р</w:t>
            </w:r>
          </w:p>
        </w:tc>
      </w:tr>
      <w:tr w:rsidR="00AF0002" w:rsidRPr="00C354D4" w:rsidTr="007517D2">
        <w:trPr>
          <w:trHeight w:val="372"/>
        </w:trPr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C354D4" w:rsidRDefault="000122BF" w:rsidP="00AF0002">
            <w:pPr>
              <w:spacing w:after="0" w:line="360" w:lineRule="atLeast"/>
              <w:rPr>
                <w:rFonts w:eastAsia="Times New Roman" w:cs="Times New Roman"/>
                <w:szCs w:val="28"/>
                <w:lang w:val="en-US"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>Часы</w:t>
            </w:r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AF0002">
              <w:rPr>
                <w:rFonts w:eastAsia="Times New Roman" w:cs="Times New Roman"/>
                <w:szCs w:val="28"/>
                <w:lang w:eastAsia="ru-RU"/>
              </w:rPr>
              <w:t>типа</w:t>
            </w:r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>G</w:t>
            </w:r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>-</w:t>
            </w:r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>Shock</w:t>
            </w:r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 xml:space="preserve">, </w:t>
            </w:r>
            <w:proofErr w:type="spellStart"/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>ProTrek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6D62C6" w:rsidRDefault="006D62C6" w:rsidP="00AF0002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400р</w:t>
            </w:r>
          </w:p>
        </w:tc>
      </w:tr>
      <w:tr w:rsidR="00AF0002" w:rsidRPr="00AF0002" w:rsidTr="007517D2">
        <w:trPr>
          <w:trHeight w:val="372"/>
        </w:trPr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AF0002" w:rsidRDefault="000122BF" w:rsidP="00AF0002">
            <w:pPr>
              <w:spacing w:after="0" w:line="360" w:lineRule="atLeast"/>
              <w:rPr>
                <w:rFonts w:eastAsia="Times New Roman" w:cs="Times New Roman"/>
                <w:szCs w:val="28"/>
                <w:lang w:val="en-US"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>Часы</w:t>
            </w:r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AF0002">
              <w:rPr>
                <w:rFonts w:eastAsia="Times New Roman" w:cs="Times New Roman"/>
                <w:szCs w:val="28"/>
                <w:lang w:eastAsia="ru-RU"/>
              </w:rPr>
              <w:t>типа</w:t>
            </w:r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 xml:space="preserve"> «</w:t>
            </w:r>
            <w:proofErr w:type="spellStart"/>
            <w:r w:rsidRPr="00AF0002">
              <w:rPr>
                <w:rFonts w:eastAsia="Times New Roman" w:cs="Times New Roman"/>
                <w:szCs w:val="28"/>
                <w:lang w:eastAsia="ru-RU"/>
              </w:rPr>
              <w:t>хронораф</w:t>
            </w:r>
            <w:proofErr w:type="spellEnd"/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>», «</w:t>
            </w:r>
            <w:proofErr w:type="spellStart"/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>ProMaster</w:t>
            </w:r>
            <w:proofErr w:type="spellEnd"/>
            <w:r w:rsidRPr="00C354D4">
              <w:rPr>
                <w:rFonts w:eastAsia="Times New Roman" w:cs="Times New Roman"/>
                <w:szCs w:val="28"/>
                <w:lang w:val="en-US" w:eastAsia="ru-RU"/>
              </w:rPr>
              <w:t>», «</w:t>
            </w:r>
            <w:proofErr w:type="spellStart"/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>AquaLand</w:t>
            </w:r>
            <w:proofErr w:type="spellEnd"/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 xml:space="preserve">» </w:t>
            </w:r>
            <w:r w:rsidRPr="00AF0002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AF0002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  <w:r w:rsidRPr="00AF0002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AF0002">
              <w:rPr>
                <w:rFonts w:eastAsia="Times New Roman" w:cs="Times New Roman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6D62C6" w:rsidRDefault="006D62C6" w:rsidP="00AF0002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600р</w:t>
            </w:r>
          </w:p>
        </w:tc>
      </w:tr>
      <w:tr w:rsidR="00AF0002" w:rsidRPr="00AF0002" w:rsidTr="007517D2">
        <w:trPr>
          <w:trHeight w:val="360"/>
        </w:trPr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AF0002" w:rsidRDefault="000122BF" w:rsidP="00AF0002">
            <w:pPr>
              <w:spacing w:after="0" w:line="36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>Простые электронные часы (</w:t>
            </w:r>
            <w:proofErr w:type="gramStart"/>
            <w:r w:rsidRPr="00AF0002">
              <w:rPr>
                <w:rFonts w:eastAsia="Times New Roman" w:cs="Times New Roman"/>
                <w:szCs w:val="28"/>
                <w:lang w:eastAsia="ru-RU"/>
              </w:rPr>
              <w:t>ЖК дисплей</w:t>
            </w:r>
            <w:proofErr w:type="gramEnd"/>
            <w:r w:rsidRPr="00AF000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F3D" w:rsidRPr="00AF0002" w:rsidRDefault="00445D02" w:rsidP="00AF0002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350р</w:t>
            </w:r>
          </w:p>
        </w:tc>
      </w:tr>
    </w:tbl>
    <w:p w:rsidR="007517D2" w:rsidRDefault="007517D2" w:rsidP="007517D2"/>
    <w:p w:rsidR="007517D2" w:rsidRPr="007517D2" w:rsidRDefault="007517D2" w:rsidP="007517D2">
      <w:pPr>
        <w:rPr>
          <w:sz w:val="20"/>
          <w:szCs w:val="20"/>
        </w:rPr>
      </w:pPr>
      <w:r>
        <w:t>Гарантия на элемент питания составляет 1 год со дня установки, гарантия не распространяется на элементы питания вышедшего из строя вследствие неисп</w:t>
      </w:r>
      <w:r w:rsidR="00D02067">
        <w:t>равности механизма или нарушения</w:t>
      </w:r>
      <w:r>
        <w:t xml:space="preserve"> правил эксплуатации часов.</w:t>
      </w:r>
    </w:p>
    <w:tbl>
      <w:tblPr>
        <w:tblW w:w="1070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4253"/>
        <w:gridCol w:w="142"/>
      </w:tblGrid>
      <w:tr w:rsidR="00AF0002" w:rsidRPr="00AF0002" w:rsidTr="009D068D">
        <w:trPr>
          <w:trHeight w:val="584"/>
        </w:trPr>
        <w:tc>
          <w:tcPr>
            <w:tcW w:w="1070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22BF" w:rsidRPr="009D068D" w:rsidRDefault="009D068D" w:rsidP="00E17550">
            <w:pPr>
              <w:spacing w:after="0" w:line="360" w:lineRule="atLeast"/>
              <w:textAlignment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D068D">
              <w:rPr>
                <w:rFonts w:eastAsia="Times New Roman" w:cs="Times New Roman"/>
                <w:b/>
                <w:szCs w:val="28"/>
                <w:lang w:eastAsia="ru-RU"/>
              </w:rPr>
              <w:t>Замена стекла в часах</w:t>
            </w:r>
          </w:p>
        </w:tc>
      </w:tr>
      <w:tr w:rsidR="00AF0002" w:rsidRPr="00AF0002" w:rsidTr="009D068D">
        <w:trPr>
          <w:trHeight w:val="358"/>
        </w:trPr>
        <w:tc>
          <w:tcPr>
            <w:tcW w:w="6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17550" w:rsidRPr="00AF0002" w:rsidRDefault="009D068D" w:rsidP="00E17550">
            <w:pPr>
              <w:spacing w:after="0" w:line="360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Пластиковое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17550" w:rsidRPr="00AF0002" w:rsidRDefault="00445D02" w:rsidP="00E17550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150р</w:t>
            </w:r>
          </w:p>
        </w:tc>
      </w:tr>
      <w:tr w:rsidR="00AF0002" w:rsidRPr="00AF0002" w:rsidTr="009D06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312" w:type="dxa"/>
          </w:tcPr>
          <w:p w:rsidR="00E17550" w:rsidRPr="00AF0002" w:rsidRDefault="009D068D" w:rsidP="007517D2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Минеральное</w:t>
            </w:r>
          </w:p>
        </w:tc>
        <w:tc>
          <w:tcPr>
            <w:tcW w:w="4395" w:type="dxa"/>
            <w:gridSpan w:val="2"/>
          </w:tcPr>
          <w:p w:rsidR="00E17550" w:rsidRPr="00AF0002" w:rsidRDefault="00445D02" w:rsidP="00445D02">
            <w:pPr>
              <w:shd w:val="clear" w:color="auto" w:fill="FFFFFF"/>
              <w:spacing w:after="0" w:line="360" w:lineRule="atLeast"/>
              <w:ind w:left="75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600р</w:t>
            </w:r>
          </w:p>
        </w:tc>
      </w:tr>
      <w:tr w:rsidR="00AF0002" w:rsidRPr="00AF0002" w:rsidTr="009D06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"/>
        </w:trPr>
        <w:tc>
          <w:tcPr>
            <w:tcW w:w="6312" w:type="dxa"/>
          </w:tcPr>
          <w:p w:rsidR="00E17550" w:rsidRPr="00AF0002" w:rsidRDefault="009D068D" w:rsidP="007517D2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Изготовление фигурного стекла </w:t>
            </w:r>
          </w:p>
        </w:tc>
        <w:tc>
          <w:tcPr>
            <w:tcW w:w="4395" w:type="dxa"/>
            <w:gridSpan w:val="2"/>
            <w:tcBorders>
              <w:right w:val="single" w:sz="4" w:space="0" w:color="000000" w:themeColor="text1"/>
            </w:tcBorders>
          </w:tcPr>
          <w:p w:rsidR="00E17550" w:rsidRPr="00AF0002" w:rsidRDefault="00445D02" w:rsidP="00445D02">
            <w:pPr>
              <w:shd w:val="clear" w:color="auto" w:fill="FFFFFF"/>
              <w:spacing w:after="0" w:line="360" w:lineRule="atLeast"/>
              <w:ind w:left="75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1 500р</w:t>
            </w:r>
          </w:p>
        </w:tc>
      </w:tr>
      <w:tr w:rsidR="00AF0002" w:rsidRPr="00AF0002" w:rsidTr="009D068D">
        <w:trPr>
          <w:gridAfter w:val="1"/>
          <w:wAfter w:w="142" w:type="dxa"/>
          <w:trHeight w:val="612"/>
        </w:trPr>
        <w:tc>
          <w:tcPr>
            <w:tcW w:w="1056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517D2" w:rsidRPr="009D068D" w:rsidRDefault="009D068D" w:rsidP="009D068D">
            <w:r>
              <w:br/>
            </w:r>
            <w:r>
              <w:t>При замене стекла, произведенной без общего ремонта механизма, гарантия на ход часов не дается.</w:t>
            </w:r>
          </w:p>
          <w:p w:rsidR="000A1538" w:rsidRPr="00AF0002" w:rsidRDefault="00CE44F9" w:rsidP="008E3D36">
            <w:pPr>
              <w:spacing w:after="0" w:line="360" w:lineRule="atLeast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br/>
            </w:r>
            <w:r w:rsidR="008E3D36"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 xml:space="preserve">Ремонт </w:t>
            </w:r>
            <w:r w:rsidR="008E3D36"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 xml:space="preserve">Настенных / Настольных / Напольных  </w:t>
            </w:r>
            <w:r w:rsidR="008E3D36"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кварцевых часов</w:t>
            </w:r>
          </w:p>
        </w:tc>
      </w:tr>
      <w:tr w:rsidR="00AF0002" w:rsidRPr="00AF0002" w:rsidTr="009D068D">
        <w:trPr>
          <w:gridAfter w:val="1"/>
          <w:wAfter w:w="142" w:type="dxa"/>
          <w:trHeight w:val="260"/>
        </w:trPr>
        <w:tc>
          <w:tcPr>
            <w:tcW w:w="6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3D36" w:rsidRPr="00AF0002" w:rsidRDefault="008E3D36" w:rsidP="000A1538">
            <w:pPr>
              <w:spacing w:after="0" w:line="36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>Общий ремонт настенных кварцевых часов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3D36" w:rsidRPr="00AF0002" w:rsidRDefault="008E3D36" w:rsidP="000A1538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lang w:eastAsia="ru-RU"/>
              </w:rPr>
              <w:t>От 450р</w:t>
            </w:r>
          </w:p>
        </w:tc>
      </w:tr>
    </w:tbl>
    <w:p w:rsidR="000A1538" w:rsidRPr="00AF0002" w:rsidRDefault="000A1538" w:rsidP="000A1538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104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4111"/>
      </w:tblGrid>
      <w:tr w:rsidR="00AF0002" w:rsidRPr="00AF0002" w:rsidTr="009D068D">
        <w:trPr>
          <w:trHeight w:val="583"/>
        </w:trPr>
        <w:tc>
          <w:tcPr>
            <w:tcW w:w="104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1538" w:rsidRPr="00CE44F9" w:rsidRDefault="00CE44F9" w:rsidP="00CE44F9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br/>
            </w:r>
            <w:r w:rsidR="000A1538"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 xml:space="preserve">Ремонт Настенных / Настольных / Напольных </w:t>
            </w:r>
            <w:r w:rsidR="008E3D36" w:rsidRPr="00AF000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 xml:space="preserve">механических </w:t>
            </w:r>
            <w:r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AF0002" w:rsidRPr="00AF0002" w:rsidTr="009D068D">
        <w:trPr>
          <w:trHeight w:val="405"/>
        </w:trPr>
        <w:tc>
          <w:tcPr>
            <w:tcW w:w="6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3D36" w:rsidRPr="00AF0002" w:rsidRDefault="008E3D36" w:rsidP="000A1538">
            <w:pPr>
              <w:spacing w:after="0" w:line="36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Механические часы без боя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3D36" w:rsidRPr="00AF0002" w:rsidRDefault="00445D02" w:rsidP="008E3D36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1 000р</w:t>
            </w:r>
          </w:p>
        </w:tc>
      </w:tr>
      <w:tr w:rsidR="00AF0002" w:rsidRPr="00AF0002" w:rsidTr="009D068D">
        <w:trPr>
          <w:trHeight w:val="405"/>
        </w:trPr>
        <w:tc>
          <w:tcPr>
            <w:tcW w:w="6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3D36" w:rsidRPr="00AF0002" w:rsidRDefault="008E3D36" w:rsidP="000A1538">
            <w:pPr>
              <w:spacing w:after="0" w:line="36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002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Механические часы с боем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E3D36" w:rsidRPr="00AF0002" w:rsidRDefault="00445D02" w:rsidP="000A1538">
            <w:pPr>
              <w:spacing w:after="0" w:line="36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1 500р</w:t>
            </w:r>
          </w:p>
        </w:tc>
      </w:tr>
    </w:tbl>
    <w:p w:rsidR="000A1538" w:rsidRPr="00AF0002" w:rsidRDefault="000A1538" w:rsidP="000A1538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AF0002" w:rsidRDefault="00AF0002"/>
    <w:p w:rsidR="00AF0002" w:rsidRDefault="00AF0002"/>
    <w:p w:rsidR="00C354D4" w:rsidRDefault="009D068D">
      <w:r>
        <w:lastRenderedPageBreak/>
        <w:br/>
      </w:r>
    </w:p>
    <w:p w:rsidR="00C354D4" w:rsidRPr="00B96211" w:rsidRDefault="00C354D4">
      <w:pPr>
        <w:rPr>
          <w:b/>
        </w:rPr>
      </w:pPr>
      <w:r w:rsidRPr="00B96211">
        <w:rPr>
          <w:b/>
        </w:rPr>
        <w:t xml:space="preserve">Ремонт и обслуживание механизмов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31"/>
        <w:gridCol w:w="2998"/>
        <w:gridCol w:w="2753"/>
      </w:tblGrid>
      <w:tr w:rsidR="00B96211" w:rsidTr="00D02067">
        <w:trPr>
          <w:trHeight w:val="501"/>
        </w:trPr>
        <w:tc>
          <w:tcPr>
            <w:tcW w:w="4931" w:type="dxa"/>
          </w:tcPr>
          <w:p w:rsidR="00B96211" w:rsidRDefault="00B96211" w:rsidP="00B96211"/>
        </w:tc>
        <w:tc>
          <w:tcPr>
            <w:tcW w:w="2998" w:type="dxa"/>
            <w:tcBorders>
              <w:bottom w:val="single" w:sz="4" w:space="0" w:color="auto"/>
            </w:tcBorders>
          </w:tcPr>
          <w:p w:rsidR="00B96211" w:rsidRDefault="00B96211" w:rsidP="00B96211">
            <w:r>
              <w:t>Россия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B96211" w:rsidRDefault="00B96211" w:rsidP="00B96211">
            <w:r>
              <w:t>Импортные</w:t>
            </w:r>
          </w:p>
        </w:tc>
      </w:tr>
      <w:tr w:rsidR="00B96211" w:rsidTr="00D02067">
        <w:trPr>
          <w:trHeight w:val="409"/>
        </w:trPr>
        <w:tc>
          <w:tcPr>
            <w:tcW w:w="4931" w:type="dxa"/>
            <w:tcBorders>
              <w:top w:val="nil"/>
            </w:tcBorders>
          </w:tcPr>
          <w:p w:rsidR="00B96211" w:rsidRDefault="00B96211" w:rsidP="00B96211">
            <w:pPr>
              <w:jc w:val="center"/>
            </w:pPr>
            <w:r>
              <w:t>Механические часы</w:t>
            </w:r>
          </w:p>
        </w:tc>
        <w:tc>
          <w:tcPr>
            <w:tcW w:w="2998" w:type="dxa"/>
            <w:tcBorders>
              <w:top w:val="nil"/>
            </w:tcBorders>
          </w:tcPr>
          <w:p w:rsidR="00B96211" w:rsidRDefault="00B96211" w:rsidP="00B96211"/>
        </w:tc>
        <w:tc>
          <w:tcPr>
            <w:tcW w:w="2753" w:type="dxa"/>
            <w:tcBorders>
              <w:top w:val="nil"/>
            </w:tcBorders>
          </w:tcPr>
          <w:p w:rsidR="00B96211" w:rsidRDefault="00B96211" w:rsidP="00B96211"/>
        </w:tc>
      </w:tr>
      <w:tr w:rsidR="00B96211" w:rsidTr="00D02067">
        <w:trPr>
          <w:trHeight w:val="415"/>
        </w:trPr>
        <w:tc>
          <w:tcPr>
            <w:tcW w:w="4931" w:type="dxa"/>
          </w:tcPr>
          <w:p w:rsidR="00B96211" w:rsidRDefault="00B96211" w:rsidP="00B96211">
            <w:r>
              <w:t>С ручным заводом</w:t>
            </w:r>
          </w:p>
        </w:tc>
        <w:tc>
          <w:tcPr>
            <w:tcW w:w="2998" w:type="dxa"/>
          </w:tcPr>
          <w:p w:rsidR="00B96211" w:rsidRDefault="00445D02" w:rsidP="00445D02">
            <w:pPr>
              <w:jc w:val="center"/>
            </w:pPr>
            <w:r>
              <w:t>От 900р</w:t>
            </w:r>
          </w:p>
        </w:tc>
        <w:tc>
          <w:tcPr>
            <w:tcW w:w="2753" w:type="dxa"/>
          </w:tcPr>
          <w:p w:rsidR="00B96211" w:rsidRDefault="00445D02" w:rsidP="00445D02">
            <w:pPr>
              <w:jc w:val="center"/>
            </w:pPr>
            <w:r>
              <w:t>От 2 000р</w:t>
            </w:r>
          </w:p>
        </w:tc>
      </w:tr>
      <w:tr w:rsidR="00B96211" w:rsidTr="00D02067">
        <w:trPr>
          <w:trHeight w:val="421"/>
        </w:trPr>
        <w:tc>
          <w:tcPr>
            <w:tcW w:w="4931" w:type="dxa"/>
            <w:tcBorders>
              <w:top w:val="nil"/>
            </w:tcBorders>
          </w:tcPr>
          <w:p w:rsidR="00B96211" w:rsidRDefault="00B96211" w:rsidP="00B96211">
            <w:r>
              <w:t xml:space="preserve">С </w:t>
            </w:r>
            <w:proofErr w:type="spellStart"/>
            <w:r>
              <w:t>автоподзаводом</w:t>
            </w:r>
            <w:proofErr w:type="spellEnd"/>
            <w:r>
              <w:t xml:space="preserve"> </w:t>
            </w:r>
          </w:p>
        </w:tc>
        <w:tc>
          <w:tcPr>
            <w:tcW w:w="2998" w:type="dxa"/>
          </w:tcPr>
          <w:p w:rsidR="00B96211" w:rsidRDefault="00445D02" w:rsidP="00445D02">
            <w:pPr>
              <w:jc w:val="center"/>
            </w:pPr>
            <w:r>
              <w:t>От 1 000р</w:t>
            </w:r>
          </w:p>
        </w:tc>
        <w:tc>
          <w:tcPr>
            <w:tcW w:w="2753" w:type="dxa"/>
          </w:tcPr>
          <w:p w:rsidR="00B96211" w:rsidRDefault="00445D02" w:rsidP="00445D02">
            <w:pPr>
              <w:jc w:val="center"/>
            </w:pPr>
            <w:r>
              <w:t>От 2 500р</w:t>
            </w:r>
          </w:p>
        </w:tc>
      </w:tr>
      <w:tr w:rsidR="00B96211" w:rsidTr="00D02067">
        <w:trPr>
          <w:trHeight w:val="414"/>
        </w:trPr>
        <w:tc>
          <w:tcPr>
            <w:tcW w:w="4931" w:type="dxa"/>
          </w:tcPr>
          <w:p w:rsidR="00B96211" w:rsidRDefault="00B96211" w:rsidP="00B96211">
            <w:r>
              <w:t xml:space="preserve">Хронограф </w:t>
            </w:r>
          </w:p>
        </w:tc>
        <w:tc>
          <w:tcPr>
            <w:tcW w:w="2998" w:type="dxa"/>
          </w:tcPr>
          <w:p w:rsidR="00B96211" w:rsidRDefault="00445D02" w:rsidP="00445D02">
            <w:pPr>
              <w:jc w:val="center"/>
            </w:pPr>
            <w:r>
              <w:t>От 2 500р</w:t>
            </w:r>
          </w:p>
        </w:tc>
        <w:tc>
          <w:tcPr>
            <w:tcW w:w="2753" w:type="dxa"/>
          </w:tcPr>
          <w:p w:rsidR="00B96211" w:rsidRDefault="00445D02" w:rsidP="00445D02">
            <w:pPr>
              <w:jc w:val="center"/>
            </w:pPr>
            <w:r>
              <w:t>От 6 000р</w:t>
            </w:r>
          </w:p>
        </w:tc>
      </w:tr>
      <w:tr w:rsidR="00445D02" w:rsidTr="00D02067">
        <w:trPr>
          <w:trHeight w:val="419"/>
        </w:trPr>
        <w:tc>
          <w:tcPr>
            <w:tcW w:w="4931" w:type="dxa"/>
            <w:tcBorders>
              <w:bottom w:val="single" w:sz="4" w:space="0" w:color="auto"/>
            </w:tcBorders>
          </w:tcPr>
          <w:p w:rsidR="00445D02" w:rsidRDefault="00445D02" w:rsidP="00B96211">
            <w:pPr>
              <w:jc w:val="center"/>
            </w:pPr>
            <w:r>
              <w:t>Кварцевые часы</w:t>
            </w:r>
          </w:p>
        </w:tc>
        <w:tc>
          <w:tcPr>
            <w:tcW w:w="5751" w:type="dxa"/>
            <w:gridSpan w:val="2"/>
            <w:tcBorders>
              <w:bottom w:val="single" w:sz="4" w:space="0" w:color="auto"/>
            </w:tcBorders>
          </w:tcPr>
          <w:p w:rsidR="00445D02" w:rsidRDefault="00445D02" w:rsidP="00B96211"/>
        </w:tc>
      </w:tr>
      <w:tr w:rsidR="00445D02" w:rsidTr="00D02067">
        <w:trPr>
          <w:trHeight w:val="411"/>
        </w:trPr>
        <w:tc>
          <w:tcPr>
            <w:tcW w:w="4931" w:type="dxa"/>
          </w:tcPr>
          <w:p w:rsidR="00445D02" w:rsidRDefault="00445D02" w:rsidP="00B96211">
            <w:r>
              <w:t xml:space="preserve">Простые часы </w:t>
            </w:r>
          </w:p>
        </w:tc>
        <w:tc>
          <w:tcPr>
            <w:tcW w:w="5751" w:type="dxa"/>
            <w:gridSpan w:val="2"/>
            <w:tcBorders>
              <w:top w:val="nil"/>
            </w:tcBorders>
          </w:tcPr>
          <w:p w:rsidR="00445D02" w:rsidRDefault="00445D02" w:rsidP="00445D02">
            <w:pPr>
              <w:jc w:val="center"/>
            </w:pPr>
            <w:r>
              <w:t>От 1 000р</w:t>
            </w:r>
          </w:p>
        </w:tc>
      </w:tr>
      <w:tr w:rsidR="00445D02" w:rsidTr="00D02067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931" w:type="dxa"/>
          </w:tcPr>
          <w:p w:rsidR="00445D02" w:rsidRDefault="00445D02" w:rsidP="00B96211">
            <w:r>
              <w:t xml:space="preserve">Хронограф </w:t>
            </w:r>
          </w:p>
        </w:tc>
        <w:tc>
          <w:tcPr>
            <w:tcW w:w="5751" w:type="dxa"/>
            <w:gridSpan w:val="2"/>
          </w:tcPr>
          <w:p w:rsidR="00445D02" w:rsidRDefault="00445D02" w:rsidP="00445D02">
            <w:pPr>
              <w:jc w:val="center"/>
            </w:pPr>
            <w:r>
              <w:t>От 4 000р</w:t>
            </w:r>
          </w:p>
        </w:tc>
      </w:tr>
    </w:tbl>
    <w:p w:rsidR="00C354D4" w:rsidRDefault="00C354D4">
      <w:bookmarkStart w:id="0" w:name="_GoBack"/>
      <w:bookmarkEnd w:id="0"/>
    </w:p>
    <w:p w:rsidR="00A32638" w:rsidRDefault="00A32638" w:rsidP="00A32638">
      <w:r>
        <w:t>Расценки являются приблизительными, в стоимость не включены цены на заменяемые детали. Точную стоимость услуг можно узнать у мастера.</w:t>
      </w:r>
    </w:p>
    <w:p w:rsidR="00C354D4" w:rsidRDefault="00C354D4"/>
    <w:p w:rsidR="00C354D4" w:rsidRDefault="00C354D4"/>
    <w:p w:rsidR="00C354D4" w:rsidRDefault="00C354D4"/>
    <w:p w:rsidR="00C354D4" w:rsidRDefault="00C354D4"/>
    <w:p w:rsidR="00C354D4" w:rsidRDefault="00C354D4"/>
    <w:p w:rsidR="00C354D4" w:rsidRDefault="00C354D4"/>
    <w:p w:rsidR="00C354D4" w:rsidRDefault="00C354D4"/>
    <w:p w:rsidR="00C354D4" w:rsidRDefault="00C354D4"/>
    <w:p w:rsidR="00C354D4" w:rsidRDefault="00C354D4"/>
    <w:p w:rsidR="00C354D4" w:rsidRDefault="00C354D4"/>
    <w:p w:rsidR="00F3539F" w:rsidRDefault="00F3539F"/>
    <w:p w:rsidR="005256D5" w:rsidRPr="005256D5" w:rsidRDefault="005256D5"/>
    <w:p w:rsidR="005256D5" w:rsidRPr="005256D5" w:rsidRDefault="005256D5">
      <w:pPr>
        <w:rPr>
          <w:sz w:val="20"/>
          <w:szCs w:val="20"/>
        </w:rPr>
      </w:pPr>
    </w:p>
    <w:sectPr w:rsidR="005256D5" w:rsidRPr="005256D5" w:rsidSect="00A32638">
      <w:type w:val="continuous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8"/>
    <w:rsid w:val="000122BF"/>
    <w:rsid w:val="000A1538"/>
    <w:rsid w:val="00445D02"/>
    <w:rsid w:val="005256D5"/>
    <w:rsid w:val="006B1FEE"/>
    <w:rsid w:val="006D62C6"/>
    <w:rsid w:val="006D643D"/>
    <w:rsid w:val="007517D2"/>
    <w:rsid w:val="00777A51"/>
    <w:rsid w:val="0078164D"/>
    <w:rsid w:val="007F0EDA"/>
    <w:rsid w:val="008E3D36"/>
    <w:rsid w:val="009D068D"/>
    <w:rsid w:val="00A32638"/>
    <w:rsid w:val="00AF0002"/>
    <w:rsid w:val="00B96211"/>
    <w:rsid w:val="00C354D4"/>
    <w:rsid w:val="00CE44F9"/>
    <w:rsid w:val="00D02067"/>
    <w:rsid w:val="00E17550"/>
    <w:rsid w:val="00ED3F3D"/>
    <w:rsid w:val="00F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DA"/>
  </w:style>
  <w:style w:type="paragraph" w:styleId="1">
    <w:name w:val="heading 1"/>
    <w:basedOn w:val="a"/>
    <w:next w:val="a"/>
    <w:link w:val="10"/>
    <w:uiPriority w:val="9"/>
    <w:qFormat/>
    <w:rsid w:val="007F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0E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0E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F0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F0E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F0E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0E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0E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0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0E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F0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F0E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F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0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0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0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0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0ED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7">
    <w:name w:val="Strong"/>
    <w:basedOn w:val="a0"/>
    <w:uiPriority w:val="22"/>
    <w:qFormat/>
    <w:rsid w:val="007F0EDA"/>
    <w:rPr>
      <w:b/>
      <w:bCs/>
    </w:rPr>
  </w:style>
  <w:style w:type="character" w:styleId="a8">
    <w:name w:val="Emphasis"/>
    <w:basedOn w:val="a0"/>
    <w:uiPriority w:val="20"/>
    <w:qFormat/>
    <w:rsid w:val="007F0EDA"/>
    <w:rPr>
      <w:i/>
      <w:iCs/>
    </w:rPr>
  </w:style>
  <w:style w:type="paragraph" w:styleId="a9">
    <w:name w:val="No Spacing"/>
    <w:uiPriority w:val="1"/>
    <w:qFormat/>
    <w:rsid w:val="007F0E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0E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0ED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7F0E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7F0ED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7F0ED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F0ED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F0ED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F0EDA"/>
    <w:rPr>
      <w:b/>
      <w:bCs/>
      <w:smallCaps/>
      <w:color w:val="C0504D" w:themeColor="accent2"/>
      <w:spacing w:val="5"/>
      <w:u w:val="single"/>
    </w:rPr>
  </w:style>
  <w:style w:type="character" w:styleId="af0">
    <w:name w:val="Hyperlink"/>
    <w:basedOn w:val="a0"/>
    <w:uiPriority w:val="99"/>
    <w:unhideWhenUsed/>
    <w:rsid w:val="006D643D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AF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DA"/>
  </w:style>
  <w:style w:type="paragraph" w:styleId="1">
    <w:name w:val="heading 1"/>
    <w:basedOn w:val="a"/>
    <w:next w:val="a"/>
    <w:link w:val="10"/>
    <w:uiPriority w:val="9"/>
    <w:qFormat/>
    <w:rsid w:val="007F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0E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0E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F0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F0E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F0E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0E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0E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0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0E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F0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F0E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F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0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0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0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0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0ED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7">
    <w:name w:val="Strong"/>
    <w:basedOn w:val="a0"/>
    <w:uiPriority w:val="22"/>
    <w:qFormat/>
    <w:rsid w:val="007F0EDA"/>
    <w:rPr>
      <w:b/>
      <w:bCs/>
    </w:rPr>
  </w:style>
  <w:style w:type="character" w:styleId="a8">
    <w:name w:val="Emphasis"/>
    <w:basedOn w:val="a0"/>
    <w:uiPriority w:val="20"/>
    <w:qFormat/>
    <w:rsid w:val="007F0EDA"/>
    <w:rPr>
      <w:i/>
      <w:iCs/>
    </w:rPr>
  </w:style>
  <w:style w:type="paragraph" w:styleId="a9">
    <w:name w:val="No Spacing"/>
    <w:uiPriority w:val="1"/>
    <w:qFormat/>
    <w:rsid w:val="007F0E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0E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0ED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7F0E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7F0ED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7F0ED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F0ED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F0ED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F0EDA"/>
    <w:rPr>
      <w:b/>
      <w:bCs/>
      <w:smallCaps/>
      <w:color w:val="C0504D" w:themeColor="accent2"/>
      <w:spacing w:val="5"/>
      <w:u w:val="single"/>
    </w:rPr>
  </w:style>
  <w:style w:type="character" w:styleId="af0">
    <w:name w:val="Hyperlink"/>
    <w:basedOn w:val="a0"/>
    <w:uiPriority w:val="99"/>
    <w:unhideWhenUsed/>
    <w:rsid w:val="006D643D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AF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188A-4DE3-416A-A41B-4C550EE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7</cp:revision>
  <dcterms:created xsi:type="dcterms:W3CDTF">2017-10-18T10:10:00Z</dcterms:created>
  <dcterms:modified xsi:type="dcterms:W3CDTF">2017-10-20T10:16:00Z</dcterms:modified>
</cp:coreProperties>
</file>